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p w:rsidR="0071129A" w:rsidRPr="0071129A" w:rsidRDefault="00062A2F" w:rsidP="0071129A">
      <w:pPr>
        <w:jc w:val="center"/>
        <w:rPr>
          <w:rFonts w:ascii="Arial" w:hAnsi="Arial" w:cs="Arial"/>
          <w:b/>
          <w:sz w:val="72"/>
          <w:szCs w:val="72"/>
        </w:rPr>
      </w:pPr>
      <w:r>
        <w:rPr>
          <w:rFonts w:ascii="Arial" w:hAnsi="Arial" w:cs="Arial"/>
          <w:b/>
          <w:sz w:val="70"/>
          <w:szCs w:val="70"/>
        </w:rPr>
        <w:t>COMPRESSED GAS CYLINDER</w:t>
      </w:r>
      <w:r w:rsidR="00A4797E">
        <w:rPr>
          <w:rFonts w:ascii="Arial" w:hAnsi="Arial" w:cs="Arial"/>
          <w:b/>
          <w:sz w:val="72"/>
          <w:szCs w:val="72"/>
        </w:rPr>
        <w:t xml:space="preserve"> </w:t>
      </w:r>
      <w:r>
        <w:rPr>
          <w:rFonts w:ascii="Arial" w:hAnsi="Arial" w:cs="Arial"/>
          <w:b/>
          <w:sz w:val="70"/>
          <w:szCs w:val="70"/>
        </w:rPr>
        <w:t>WRITTEN SAFETY POLICY</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rsidR="000C41CF" w:rsidRPr="00A4797E" w:rsidRDefault="008C03A2" w:rsidP="00A4797E">
      <w:pPr>
        <w:pStyle w:val="ListParagraph"/>
        <w:numPr>
          <w:ilvl w:val="0"/>
          <w:numId w:val="1"/>
        </w:numPr>
        <w:rPr>
          <w:rFonts w:ascii="Arial" w:hAnsi="Arial" w:cs="Arial"/>
          <w:sz w:val="28"/>
        </w:rPr>
      </w:pPr>
      <w:r>
        <w:rPr>
          <w:rFonts w:ascii="Arial" w:hAnsi="Arial" w:cs="Arial"/>
          <w:sz w:val="28"/>
        </w:rPr>
        <w:t xml:space="preserve">Responsibilities </w:t>
      </w:r>
    </w:p>
    <w:p w:rsidR="000C41CF" w:rsidRDefault="008C03A2" w:rsidP="0071129A">
      <w:pPr>
        <w:pStyle w:val="ListParagraph"/>
        <w:numPr>
          <w:ilvl w:val="0"/>
          <w:numId w:val="1"/>
        </w:numPr>
        <w:rPr>
          <w:rFonts w:ascii="Arial" w:hAnsi="Arial" w:cs="Arial"/>
          <w:sz w:val="28"/>
        </w:rPr>
      </w:pPr>
      <w:r>
        <w:rPr>
          <w:rFonts w:ascii="Arial" w:hAnsi="Arial" w:cs="Arial"/>
          <w:sz w:val="28"/>
        </w:rPr>
        <w:t>Cylinder Identification</w:t>
      </w:r>
    </w:p>
    <w:p w:rsidR="007E782F" w:rsidRDefault="008C03A2" w:rsidP="007E782F">
      <w:pPr>
        <w:pStyle w:val="ListParagraph"/>
        <w:numPr>
          <w:ilvl w:val="0"/>
          <w:numId w:val="1"/>
        </w:numPr>
        <w:rPr>
          <w:rFonts w:ascii="Arial" w:hAnsi="Arial" w:cs="Arial"/>
          <w:sz w:val="28"/>
        </w:rPr>
      </w:pPr>
      <w:r>
        <w:rPr>
          <w:rFonts w:ascii="Arial" w:hAnsi="Arial" w:cs="Arial"/>
          <w:sz w:val="28"/>
        </w:rPr>
        <w:t>Storage</w:t>
      </w:r>
    </w:p>
    <w:p w:rsidR="00F71D54" w:rsidRPr="0036708E" w:rsidRDefault="008C03A2" w:rsidP="00F71D54">
      <w:pPr>
        <w:pStyle w:val="ListParagraph"/>
        <w:numPr>
          <w:ilvl w:val="0"/>
          <w:numId w:val="1"/>
        </w:numPr>
        <w:rPr>
          <w:rFonts w:ascii="Arial" w:hAnsi="Arial" w:cs="Arial"/>
          <w:sz w:val="28"/>
        </w:rPr>
      </w:pPr>
      <w:r>
        <w:rPr>
          <w:rFonts w:ascii="Arial" w:hAnsi="Arial" w:cs="Arial"/>
          <w:sz w:val="28"/>
        </w:rPr>
        <w:t>Handling and Use</w:t>
      </w:r>
    </w:p>
    <w:p w:rsidR="000C41CF" w:rsidRDefault="008C03A2" w:rsidP="0071129A">
      <w:pPr>
        <w:pStyle w:val="ListParagraph"/>
        <w:numPr>
          <w:ilvl w:val="0"/>
          <w:numId w:val="1"/>
        </w:numPr>
        <w:rPr>
          <w:rFonts w:ascii="Arial" w:hAnsi="Arial" w:cs="Arial"/>
          <w:sz w:val="28"/>
        </w:rPr>
      </w:pPr>
      <w:r>
        <w:rPr>
          <w:rFonts w:ascii="Arial" w:hAnsi="Arial" w:cs="Arial"/>
          <w:sz w:val="28"/>
        </w:rPr>
        <w:t>Transportation</w:t>
      </w:r>
    </w:p>
    <w:p w:rsidR="00E95365" w:rsidRPr="0036708E" w:rsidRDefault="008C03A2" w:rsidP="0071129A">
      <w:pPr>
        <w:pStyle w:val="ListParagraph"/>
        <w:numPr>
          <w:ilvl w:val="0"/>
          <w:numId w:val="1"/>
        </w:numPr>
        <w:rPr>
          <w:rFonts w:ascii="Arial" w:hAnsi="Arial" w:cs="Arial"/>
          <w:sz w:val="28"/>
        </w:rPr>
      </w:pPr>
      <w:r>
        <w:rPr>
          <w:rFonts w:ascii="Arial" w:hAnsi="Arial" w:cs="Arial"/>
          <w:sz w:val="28"/>
        </w:rPr>
        <w:t>Training</w:t>
      </w:r>
      <w:bookmarkStart w:id="0" w:name="_GoBack"/>
      <w:bookmarkEnd w:id="0"/>
    </w:p>
    <w:p w:rsidR="00F32ED8" w:rsidRDefault="00A4797E" w:rsidP="00E1195E">
      <w:pPr>
        <w:rPr>
          <w:rFonts w:ascii="Arial" w:hAnsi="Arial" w:cs="Arial"/>
          <w:b/>
          <w:sz w:val="28"/>
        </w:rPr>
      </w:pPr>
      <w:r>
        <w:br/>
      </w:r>
      <w:r>
        <w:br/>
      </w:r>
      <w:r>
        <w:br/>
      </w:r>
      <w:r>
        <w:br/>
      </w:r>
      <w:r>
        <w:br/>
      </w:r>
      <w:r>
        <w:br/>
      </w:r>
      <w:r>
        <w:br/>
      </w:r>
      <w:r>
        <w:br/>
      </w:r>
      <w:r>
        <w:br/>
      </w:r>
      <w:r>
        <w:br/>
      </w:r>
    </w:p>
    <w:p w:rsidR="00E1195E" w:rsidRPr="00A4797E" w:rsidRDefault="00A4797E" w:rsidP="00E1195E">
      <w:r>
        <w:rPr>
          <w:rFonts w:ascii="Arial" w:hAnsi="Arial" w:cs="Arial"/>
          <w:b/>
          <w:sz w:val="28"/>
        </w:rPr>
        <w:lastRenderedPageBreak/>
        <w:t>Purpose</w:t>
      </w:r>
    </w:p>
    <w:p w:rsidR="00062A2F" w:rsidRPr="00062A2F" w:rsidRDefault="00062A2F" w:rsidP="00062A2F">
      <w:pPr>
        <w:tabs>
          <w:tab w:val="left" w:pos="720"/>
          <w:tab w:val="left" w:pos="1080"/>
        </w:tabs>
        <w:jc w:val="both"/>
        <w:rPr>
          <w:rFonts w:ascii="Arial" w:hAnsi="Arial" w:cs="Arial"/>
          <w:sz w:val="20"/>
          <w:szCs w:val="20"/>
        </w:rPr>
      </w:pPr>
      <w:r w:rsidRPr="00062A2F">
        <w:rPr>
          <w:rFonts w:ascii="Arial" w:hAnsi="Arial" w:cs="Arial"/>
          <w:sz w:val="20"/>
          <w:szCs w:val="20"/>
        </w:rPr>
        <w:t xml:space="preserve">The purpose of this policy is to provide guidance and safe work practices for compressed gas cylinders. The set forth policy will address the following: </w:t>
      </w:r>
    </w:p>
    <w:p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Employee Responsibilities </w:t>
      </w:r>
    </w:p>
    <w:p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Cylinder Identification</w:t>
      </w:r>
    </w:p>
    <w:p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Storage </w:t>
      </w:r>
    </w:p>
    <w:p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Handling, Storage and Use </w:t>
      </w:r>
    </w:p>
    <w:p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Transportation </w:t>
      </w:r>
    </w:p>
    <w:p w:rsidR="00062A2F" w:rsidRPr="00062A2F" w:rsidRDefault="00062A2F" w:rsidP="00062A2F">
      <w:pPr>
        <w:pStyle w:val="ListParagraph"/>
        <w:numPr>
          <w:ilvl w:val="0"/>
          <w:numId w:val="29"/>
        </w:numPr>
        <w:tabs>
          <w:tab w:val="left" w:pos="720"/>
          <w:tab w:val="left" w:pos="1080"/>
        </w:tabs>
        <w:spacing w:after="0" w:line="240" w:lineRule="auto"/>
        <w:jc w:val="both"/>
        <w:rPr>
          <w:rFonts w:ascii="Arial" w:hAnsi="Arial" w:cs="Arial"/>
          <w:sz w:val="20"/>
          <w:szCs w:val="20"/>
        </w:rPr>
      </w:pPr>
      <w:r w:rsidRPr="00062A2F">
        <w:rPr>
          <w:rFonts w:ascii="Arial" w:hAnsi="Arial" w:cs="Arial"/>
          <w:sz w:val="20"/>
          <w:szCs w:val="20"/>
        </w:rPr>
        <w:t xml:space="preserve">Training  </w:t>
      </w:r>
    </w:p>
    <w:p w:rsidR="00A4797E" w:rsidRDefault="00A4797E" w:rsidP="00A4797E">
      <w:pPr>
        <w:rPr>
          <w:rFonts w:ascii="Arial" w:hAnsi="Arial" w:cs="Arial"/>
          <w:b/>
          <w:sz w:val="28"/>
        </w:rPr>
      </w:pPr>
    </w:p>
    <w:p w:rsidR="0036708E" w:rsidRPr="00F32ED8" w:rsidRDefault="00062A2F" w:rsidP="0036708E">
      <w:pPr>
        <w:rPr>
          <w:rFonts w:ascii="Arial" w:hAnsi="Arial" w:cs="Arial"/>
          <w:b/>
          <w:sz w:val="28"/>
        </w:rPr>
      </w:pPr>
      <w:r>
        <w:rPr>
          <w:rFonts w:ascii="Arial" w:hAnsi="Arial" w:cs="Arial"/>
          <w:b/>
          <w:sz w:val="28"/>
        </w:rPr>
        <w:t>Responsibilities</w:t>
      </w:r>
    </w:p>
    <w:p w:rsidR="00707A0A" w:rsidRPr="00707A0A" w:rsidRDefault="00707A0A" w:rsidP="00707A0A">
      <w:pPr>
        <w:tabs>
          <w:tab w:val="left" w:pos="720"/>
          <w:tab w:val="left" w:pos="1080"/>
        </w:tabs>
        <w:jc w:val="both"/>
        <w:rPr>
          <w:rFonts w:ascii="Arial" w:hAnsi="Arial" w:cs="Arial"/>
          <w:sz w:val="20"/>
          <w:szCs w:val="20"/>
        </w:rPr>
      </w:pPr>
      <w:r w:rsidRPr="00707A0A">
        <w:rPr>
          <w:rFonts w:ascii="Arial" w:hAnsi="Arial" w:cs="Arial"/>
          <w:b/>
          <w:sz w:val="20"/>
          <w:szCs w:val="20"/>
        </w:rPr>
        <w:t xml:space="preserve">Program Administrator: </w:t>
      </w:r>
      <w:r w:rsidRPr="00707A0A">
        <w:rPr>
          <w:rFonts w:ascii="Arial" w:hAnsi="Arial" w:cs="Arial"/>
          <w:sz w:val="20"/>
          <w:szCs w:val="20"/>
        </w:rPr>
        <w:t>The program administrator may perform or delegate these duties at their discretion.</w:t>
      </w:r>
    </w:p>
    <w:p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Implementation and enforcement of the compressed gas cylinder safety policy. </w:t>
      </w:r>
    </w:p>
    <w:p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Conduct </w:t>
      </w:r>
      <w:bookmarkStart w:id="1" w:name="_Hlk36214039"/>
      <w:r w:rsidRPr="00707A0A">
        <w:rPr>
          <w:rFonts w:ascii="Arial" w:hAnsi="Arial" w:cs="Arial"/>
          <w:sz w:val="20"/>
          <w:szCs w:val="20"/>
        </w:rPr>
        <w:t>periodic audits to ensure proper storage and use of compressed gas cylinders</w:t>
      </w:r>
      <w:bookmarkEnd w:id="1"/>
      <w:r w:rsidRPr="00707A0A">
        <w:rPr>
          <w:rFonts w:ascii="Arial" w:hAnsi="Arial" w:cs="Arial"/>
          <w:sz w:val="20"/>
          <w:szCs w:val="20"/>
        </w:rPr>
        <w:t>.</w:t>
      </w:r>
    </w:p>
    <w:p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Conduct or coordinate employee training</w:t>
      </w:r>
    </w:p>
    <w:p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Maintain training records</w:t>
      </w:r>
    </w:p>
    <w:p w:rsidR="00707A0A" w:rsidRPr="00707A0A" w:rsidRDefault="00707A0A" w:rsidP="00707A0A">
      <w:pPr>
        <w:pStyle w:val="ListParagraph"/>
        <w:numPr>
          <w:ilvl w:val="0"/>
          <w:numId w:val="31"/>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Communicate with vendors to resolve issues pertaining to compressed gas cylinders.</w:t>
      </w:r>
    </w:p>
    <w:p w:rsidR="00707A0A" w:rsidRPr="00707A0A" w:rsidRDefault="00707A0A" w:rsidP="00707A0A">
      <w:pPr>
        <w:tabs>
          <w:tab w:val="left" w:pos="720"/>
          <w:tab w:val="left" w:pos="1080"/>
        </w:tabs>
        <w:jc w:val="both"/>
        <w:rPr>
          <w:rFonts w:ascii="Arial" w:hAnsi="Arial" w:cs="Arial"/>
          <w:b/>
          <w:sz w:val="20"/>
          <w:szCs w:val="20"/>
        </w:rPr>
      </w:pPr>
      <w:r w:rsidRPr="00707A0A">
        <w:rPr>
          <w:rFonts w:ascii="Arial" w:hAnsi="Arial" w:cs="Arial"/>
          <w:b/>
          <w:sz w:val="20"/>
          <w:szCs w:val="20"/>
        </w:rPr>
        <w:t>Department Heads/Supervision</w:t>
      </w:r>
    </w:p>
    <w:p w:rsidR="00707A0A" w:rsidRPr="00707A0A" w:rsidRDefault="00707A0A" w:rsidP="00707A0A">
      <w:pPr>
        <w:pStyle w:val="ListParagraph"/>
        <w:numPr>
          <w:ilvl w:val="0"/>
          <w:numId w:val="30"/>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Ensuring employees follow the guidelines set forth by the compressed gas safety policy. </w:t>
      </w:r>
    </w:p>
    <w:p w:rsidR="00707A0A" w:rsidRPr="00707A0A" w:rsidRDefault="00707A0A" w:rsidP="00707A0A">
      <w:pPr>
        <w:pStyle w:val="ListParagraph"/>
        <w:numPr>
          <w:ilvl w:val="0"/>
          <w:numId w:val="30"/>
        </w:numPr>
        <w:tabs>
          <w:tab w:val="left" w:pos="720"/>
          <w:tab w:val="left" w:pos="1080"/>
        </w:tabs>
        <w:spacing w:after="0" w:line="240" w:lineRule="auto"/>
        <w:jc w:val="both"/>
        <w:rPr>
          <w:rFonts w:ascii="Arial" w:hAnsi="Arial" w:cs="Arial"/>
          <w:b/>
          <w:sz w:val="20"/>
          <w:szCs w:val="20"/>
        </w:rPr>
      </w:pPr>
      <w:r w:rsidRPr="00707A0A">
        <w:rPr>
          <w:rFonts w:ascii="Arial" w:hAnsi="Arial" w:cs="Arial"/>
          <w:sz w:val="20"/>
          <w:szCs w:val="20"/>
        </w:rPr>
        <w:t>Conduct periodic audits to ensure proper storage and use of compressed gas cylinders</w:t>
      </w:r>
    </w:p>
    <w:p w:rsidR="00707A0A" w:rsidRPr="00707A0A" w:rsidRDefault="00707A0A" w:rsidP="00707A0A">
      <w:pPr>
        <w:tabs>
          <w:tab w:val="left" w:pos="720"/>
          <w:tab w:val="left" w:pos="1080"/>
        </w:tabs>
        <w:jc w:val="both"/>
        <w:rPr>
          <w:rFonts w:ascii="Arial" w:hAnsi="Arial" w:cs="Arial"/>
          <w:b/>
          <w:sz w:val="20"/>
          <w:szCs w:val="20"/>
        </w:rPr>
      </w:pPr>
      <w:r w:rsidRPr="00707A0A">
        <w:rPr>
          <w:rFonts w:ascii="Arial" w:hAnsi="Arial" w:cs="Arial"/>
          <w:b/>
          <w:sz w:val="20"/>
          <w:szCs w:val="20"/>
        </w:rPr>
        <w:t xml:space="preserve">Employees  </w:t>
      </w:r>
    </w:p>
    <w:p w:rsidR="00707A0A" w:rsidRPr="00707A0A" w:rsidRDefault="00707A0A" w:rsidP="00707A0A">
      <w:pPr>
        <w:pStyle w:val="ListParagraph"/>
        <w:numPr>
          <w:ilvl w:val="0"/>
          <w:numId w:val="32"/>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Adhere to all guidelines and work practices set forth by the compressed gas safety policy.</w:t>
      </w:r>
    </w:p>
    <w:p w:rsidR="00F44D64" w:rsidRDefault="00F44D64">
      <w:pPr>
        <w:rPr>
          <w:rFonts w:ascii="Arial" w:hAnsi="Arial" w:cs="Arial"/>
          <w:sz w:val="20"/>
          <w:szCs w:val="20"/>
        </w:rPr>
      </w:pPr>
    </w:p>
    <w:p w:rsidR="00EA679E" w:rsidRPr="00F32ED8" w:rsidRDefault="00707A0A" w:rsidP="00F32ED8">
      <w:pPr>
        <w:ind w:left="360" w:hanging="360"/>
        <w:rPr>
          <w:rFonts w:ascii="Arial" w:hAnsi="Arial" w:cs="Arial"/>
          <w:b/>
          <w:sz w:val="28"/>
        </w:rPr>
      </w:pPr>
      <w:r>
        <w:rPr>
          <w:rFonts w:ascii="Arial" w:hAnsi="Arial" w:cs="Arial"/>
          <w:b/>
          <w:sz w:val="28"/>
        </w:rPr>
        <w:t>Cylinder Identification</w:t>
      </w:r>
    </w:p>
    <w:p w:rsidR="00707A0A"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The contents of any compressed gas cylinder must be clearly identified.</w:t>
      </w:r>
    </w:p>
    <w:p w:rsidR="00707A0A"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No compressed gas cylinder will be accepted for use that does not legibly identify its contents by name. </w:t>
      </w:r>
    </w:p>
    <w:p w:rsidR="00707A0A"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If the labeling on a cylinder becomes unclear or an attached tag is defaced to the point the contents cannot be identified, the cylinder should be marked “contents unknown” and returned directly to the vendor. </w:t>
      </w:r>
    </w:p>
    <w:p w:rsidR="00695F39" w:rsidRPr="00707A0A" w:rsidRDefault="00707A0A" w:rsidP="00707A0A">
      <w:pPr>
        <w:pStyle w:val="ListParagraph"/>
        <w:numPr>
          <w:ilvl w:val="0"/>
          <w:numId w:val="33"/>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When a cylinder is empty, close the valve, replace the cap, and mark the cylinder empty or “MT”.</w:t>
      </w:r>
    </w:p>
    <w:p w:rsidR="00F32ED8" w:rsidRPr="00477B89" w:rsidRDefault="00707A0A" w:rsidP="00F32ED8">
      <w:pPr>
        <w:ind w:left="360" w:hanging="360"/>
        <w:rPr>
          <w:rFonts w:ascii="Arial" w:hAnsi="Arial" w:cs="Arial"/>
          <w:b/>
          <w:sz w:val="28"/>
        </w:rPr>
      </w:pPr>
      <w:r>
        <w:rPr>
          <w:rFonts w:ascii="Arial" w:hAnsi="Arial" w:cs="Arial"/>
          <w:b/>
          <w:sz w:val="28"/>
        </w:rPr>
        <w:t>Storage</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All cylinders in service or in storage shall be secured to prevent tip-overs.</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lastRenderedPageBreak/>
        <w:t xml:space="preserve">Cylinders will not be stored near walkways, unprotected platform edges, or in locations where heavy moving objects may strike or fall on them. </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Cylinder storage shall not obstruct exit routes intended for the safe exit of people. </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 valves shall always be closed when containers are not in use.</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Cylinders will not be stored in areas where cutting, burning, or grinding are done on a regular basis.</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All cylinders, empty or full, will be stored upright. </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Oxygen cylinders must be stored at least 20 feet from all flammable gas cylinders or separated from them by a firewall at least five (5) feet high and a 1 Hour fire resistance rating.</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Valve covers must be securely fastened when not in use.</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color w:val="212121"/>
          <w:sz w:val="20"/>
          <w:szCs w:val="20"/>
        </w:rPr>
        <w:t>Storage areas shall be well ventilated</w:t>
      </w:r>
    </w:p>
    <w:p w:rsidR="00707A0A" w:rsidRPr="00707A0A" w:rsidRDefault="00707A0A" w:rsidP="00707A0A">
      <w:pPr>
        <w:pStyle w:val="ListParagraph"/>
        <w:numPr>
          <w:ilvl w:val="0"/>
          <w:numId w:val="34"/>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Leaking cylinders will be taken outdoors away from sources of ignition. Such cylinders should be plainly tagged, and the supplier should be promptly notified.</w:t>
      </w:r>
    </w:p>
    <w:p w:rsidR="00707A0A" w:rsidRDefault="00707A0A" w:rsidP="00707A0A">
      <w:pPr>
        <w:rPr>
          <w:rFonts w:ascii="Arial" w:hAnsi="Arial" w:cs="Arial"/>
          <w:i/>
          <w:sz w:val="20"/>
        </w:rPr>
      </w:pPr>
    </w:p>
    <w:p w:rsidR="0099269A" w:rsidRPr="00707A0A" w:rsidRDefault="00707A0A" w:rsidP="00707A0A">
      <w:pPr>
        <w:rPr>
          <w:rFonts w:ascii="Arial" w:hAnsi="Arial" w:cs="Arial"/>
          <w:i/>
          <w:sz w:val="20"/>
        </w:rPr>
      </w:pPr>
      <w:r>
        <w:rPr>
          <w:rFonts w:ascii="Arial" w:hAnsi="Arial" w:cs="Arial"/>
          <w:b/>
          <w:sz w:val="28"/>
        </w:rPr>
        <w:t>Handling and Use</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color w:val="212121"/>
          <w:sz w:val="20"/>
          <w:szCs w:val="20"/>
        </w:rPr>
        <w:t>Whenever possible use a cylinder cart with the chain restraint in place.</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Don't use slings or electric magnets for handling cylinders.</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Never attempt to move a cylinder by attaching a lifting device or hook to the valve cap.</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When cylinders are used in conjunction with electric welding, they will not be grounded or used for grounding.</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Cylinders, cylinder valves, couplings, regulators and hoses shall be kept free from oil, grease and other materials that could compromise functionality.</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Flashback arrestors will be used on cylinders per the manufacturer’s recommendations.</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Cylinders must be handled with extreme caution to prevent tip overs</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Cylinder valves cannot be tampered with or altered.</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Before removing a regulator from a cylinder, the cylinder valve will be closed, and the gas released from the regulator. </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If cylinders are frozen to a surface use warm water for liberation. Never attempt to pry with a par or other tool.</w:t>
      </w:r>
    </w:p>
    <w:p w:rsidR="00707A0A" w:rsidRPr="00707A0A" w:rsidRDefault="00707A0A" w:rsidP="00707A0A">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 xml:space="preserve">When cylinders are left unattended with the hose and torch still connected, cylinder valves must be closed to prevent accidental gas release. </w:t>
      </w:r>
    </w:p>
    <w:p w:rsidR="00707A0A" w:rsidRPr="00707A0A" w:rsidRDefault="00707A0A" w:rsidP="00261BF6">
      <w:pPr>
        <w:pStyle w:val="ListParagraph"/>
        <w:numPr>
          <w:ilvl w:val="0"/>
          <w:numId w:val="35"/>
        </w:numPr>
        <w:tabs>
          <w:tab w:val="left" w:pos="720"/>
          <w:tab w:val="left" w:pos="1080"/>
        </w:tabs>
        <w:spacing w:after="0" w:line="240" w:lineRule="auto"/>
        <w:jc w:val="both"/>
        <w:rPr>
          <w:rFonts w:ascii="Arial" w:hAnsi="Arial" w:cs="Arial"/>
          <w:sz w:val="20"/>
          <w:szCs w:val="20"/>
        </w:rPr>
      </w:pPr>
      <w:r w:rsidRPr="00707A0A">
        <w:rPr>
          <w:rFonts w:ascii="Arial" w:hAnsi="Arial" w:cs="Arial"/>
          <w:sz w:val="20"/>
          <w:szCs w:val="20"/>
        </w:rPr>
        <w:t>Employees who engage is transport or movement of compressed gas cylinders should have foot protection.</w:t>
      </w:r>
    </w:p>
    <w:p w:rsidR="00707A0A" w:rsidRDefault="00707A0A" w:rsidP="00261BF6">
      <w:pPr>
        <w:rPr>
          <w:rFonts w:ascii="Arial" w:hAnsi="Arial" w:cs="Arial"/>
          <w:b/>
          <w:sz w:val="28"/>
        </w:rPr>
      </w:pPr>
    </w:p>
    <w:p w:rsidR="00261BF6" w:rsidRPr="00707A0A" w:rsidRDefault="00707A0A" w:rsidP="00261BF6">
      <w:pPr>
        <w:rPr>
          <w:rFonts w:ascii="Arial" w:hAnsi="Arial" w:cs="Arial"/>
          <w:b/>
          <w:sz w:val="28"/>
        </w:rPr>
      </w:pPr>
      <w:r>
        <w:rPr>
          <w:rFonts w:ascii="Arial" w:hAnsi="Arial" w:cs="Arial"/>
          <w:b/>
          <w:sz w:val="28"/>
        </w:rPr>
        <w:t>Transportation</w:t>
      </w:r>
    </w:p>
    <w:p w:rsidR="008C03A2" w:rsidRPr="008C03A2" w:rsidRDefault="008C03A2" w:rsidP="008C03A2">
      <w:pPr>
        <w:pStyle w:val="ListParagraph"/>
        <w:numPr>
          <w:ilvl w:val="0"/>
          <w:numId w:val="36"/>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 xml:space="preserve">Unless cylinders are secured on a truck designed for cylinder transport, the regulators shall be removed, valves closed, and valve protective caps tightly secured before moving or transporting. </w:t>
      </w:r>
    </w:p>
    <w:p w:rsidR="008C03A2" w:rsidRPr="008C03A2" w:rsidRDefault="008C03A2" w:rsidP="008C03A2">
      <w:pPr>
        <w:pStyle w:val="ListParagraph"/>
        <w:numPr>
          <w:ilvl w:val="0"/>
          <w:numId w:val="36"/>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 xml:space="preserve">All cylinders will be moved or transported in the upright position. </w:t>
      </w:r>
    </w:p>
    <w:p w:rsidR="008C03A2" w:rsidRDefault="008C03A2" w:rsidP="00446094">
      <w:pPr>
        <w:rPr>
          <w:rFonts w:ascii="Arial" w:hAnsi="Arial" w:cs="Arial"/>
          <w:b/>
          <w:sz w:val="28"/>
        </w:rPr>
      </w:pPr>
    </w:p>
    <w:p w:rsidR="00446094" w:rsidRPr="00E1195E" w:rsidRDefault="008C03A2" w:rsidP="00446094">
      <w:pPr>
        <w:rPr>
          <w:rFonts w:ascii="Arial" w:hAnsi="Arial" w:cs="Arial"/>
          <w:b/>
          <w:sz w:val="28"/>
        </w:rPr>
      </w:pPr>
      <w:r>
        <w:rPr>
          <w:rFonts w:ascii="Arial" w:hAnsi="Arial" w:cs="Arial"/>
          <w:b/>
          <w:sz w:val="28"/>
        </w:rPr>
        <w:t>Training</w:t>
      </w:r>
    </w:p>
    <w:p w:rsidR="008C03A2" w:rsidRPr="008C03A2" w:rsidRDefault="008C03A2" w:rsidP="008C03A2">
      <w:pPr>
        <w:pStyle w:val="ListParagraph"/>
        <w:numPr>
          <w:ilvl w:val="0"/>
          <w:numId w:val="37"/>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lastRenderedPageBreak/>
        <w:t xml:space="preserve">All employees who work with compressed gas or could be exposed to hazards associated with compressed gas cylinders will receive training at hire and annually thereafter.  </w:t>
      </w:r>
    </w:p>
    <w:p w:rsidR="008C03A2" w:rsidRPr="008C03A2" w:rsidRDefault="008C03A2" w:rsidP="008C03A2">
      <w:pPr>
        <w:pStyle w:val="ListParagraph"/>
        <w:numPr>
          <w:ilvl w:val="0"/>
          <w:numId w:val="37"/>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Training will be conducted by a qualified employee who is competent in the subject matter.</w:t>
      </w:r>
    </w:p>
    <w:p w:rsidR="008C03A2" w:rsidRPr="008C03A2" w:rsidRDefault="008C03A2" w:rsidP="008C03A2">
      <w:pPr>
        <w:pStyle w:val="ListParagraph"/>
        <w:numPr>
          <w:ilvl w:val="0"/>
          <w:numId w:val="37"/>
        </w:numPr>
        <w:tabs>
          <w:tab w:val="left" w:pos="720"/>
          <w:tab w:val="left" w:pos="1080"/>
        </w:tabs>
        <w:spacing w:after="0" w:line="240" w:lineRule="auto"/>
        <w:jc w:val="both"/>
        <w:rPr>
          <w:rFonts w:ascii="Arial" w:hAnsi="Arial" w:cs="Arial"/>
          <w:sz w:val="20"/>
          <w:szCs w:val="20"/>
        </w:rPr>
      </w:pPr>
      <w:r w:rsidRPr="008C03A2">
        <w:rPr>
          <w:rFonts w:ascii="Arial" w:hAnsi="Arial" w:cs="Arial"/>
          <w:sz w:val="20"/>
          <w:szCs w:val="20"/>
        </w:rPr>
        <w:t>All training will be documented and maintained on file for review.</w:t>
      </w:r>
    </w:p>
    <w:p w:rsidR="00E95365" w:rsidRPr="008C03A2" w:rsidRDefault="00E95365" w:rsidP="008C03A2">
      <w:pPr>
        <w:rPr>
          <w:rFonts w:ascii="Arial" w:hAnsi="Arial" w:cs="Arial"/>
          <w:sz w:val="20"/>
        </w:rPr>
      </w:pPr>
    </w:p>
    <w:sectPr w:rsidR="00E95365" w:rsidRPr="008C03A2" w:rsidSect="006328C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B9" w:rsidRDefault="00F476B9" w:rsidP="00FC0452">
      <w:pPr>
        <w:spacing w:after="0" w:line="240" w:lineRule="auto"/>
      </w:pPr>
      <w:r>
        <w:separator/>
      </w:r>
    </w:p>
  </w:endnote>
  <w:endnote w:type="continuationSeparator" w:id="0">
    <w:p w:rsidR="00F476B9" w:rsidRDefault="00F476B9"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1A2" w:rsidRDefault="00C711A2">
    <w:pPr>
      <w:rPr>
        <w:rFonts w:ascii="Arial" w:hAnsi="Arial" w:cs="Arial"/>
        <w:sz w:val="16"/>
      </w:rPr>
    </w:pPr>
  </w:p>
  <w:p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41B7D85D" wp14:editId="44F44B37">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6AF6583E" wp14:editId="07A42582">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B9" w:rsidRDefault="00F476B9" w:rsidP="00FC0452">
      <w:pPr>
        <w:spacing w:after="0" w:line="240" w:lineRule="auto"/>
      </w:pPr>
      <w:r>
        <w:separator/>
      </w:r>
    </w:p>
  </w:footnote>
  <w:footnote w:type="continuationSeparator" w:id="0">
    <w:p w:rsidR="00F476B9" w:rsidRDefault="00F476B9"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1790E"/>
    <w:multiLevelType w:val="hybridMultilevel"/>
    <w:tmpl w:val="3C4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820A3"/>
    <w:multiLevelType w:val="hybridMultilevel"/>
    <w:tmpl w:val="A40E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9662E"/>
    <w:multiLevelType w:val="hybridMultilevel"/>
    <w:tmpl w:val="A0F8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60D27"/>
    <w:multiLevelType w:val="hybridMultilevel"/>
    <w:tmpl w:val="9B5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D2F8C"/>
    <w:multiLevelType w:val="hybridMultilevel"/>
    <w:tmpl w:val="7FC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B5432"/>
    <w:multiLevelType w:val="hybridMultilevel"/>
    <w:tmpl w:val="AB80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B1309"/>
    <w:multiLevelType w:val="hybridMultilevel"/>
    <w:tmpl w:val="738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3570D"/>
    <w:multiLevelType w:val="hybridMultilevel"/>
    <w:tmpl w:val="BBB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53839"/>
    <w:multiLevelType w:val="hybridMultilevel"/>
    <w:tmpl w:val="09E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3"/>
  </w:num>
  <w:num w:numId="4">
    <w:abstractNumId w:val="6"/>
  </w:num>
  <w:num w:numId="5">
    <w:abstractNumId w:val="28"/>
  </w:num>
  <w:num w:numId="6">
    <w:abstractNumId w:val="29"/>
  </w:num>
  <w:num w:numId="7">
    <w:abstractNumId w:val="19"/>
  </w:num>
  <w:num w:numId="8">
    <w:abstractNumId w:val="8"/>
  </w:num>
  <w:num w:numId="9">
    <w:abstractNumId w:val="13"/>
  </w:num>
  <w:num w:numId="10">
    <w:abstractNumId w:val="31"/>
  </w:num>
  <w:num w:numId="11">
    <w:abstractNumId w:val="3"/>
  </w:num>
  <w:num w:numId="12">
    <w:abstractNumId w:val="20"/>
  </w:num>
  <w:num w:numId="13">
    <w:abstractNumId w:val="22"/>
  </w:num>
  <w:num w:numId="14">
    <w:abstractNumId w:val="2"/>
  </w:num>
  <w:num w:numId="15">
    <w:abstractNumId w:val="26"/>
  </w:num>
  <w:num w:numId="16">
    <w:abstractNumId w:val="0"/>
  </w:num>
  <w:num w:numId="17">
    <w:abstractNumId w:val="12"/>
  </w:num>
  <w:num w:numId="18">
    <w:abstractNumId w:val="4"/>
  </w:num>
  <w:num w:numId="19">
    <w:abstractNumId w:val="25"/>
  </w:num>
  <w:num w:numId="20">
    <w:abstractNumId w:val="35"/>
  </w:num>
  <w:num w:numId="21">
    <w:abstractNumId w:val="21"/>
  </w:num>
  <w:num w:numId="22">
    <w:abstractNumId w:val="17"/>
  </w:num>
  <w:num w:numId="23">
    <w:abstractNumId w:val="24"/>
  </w:num>
  <w:num w:numId="24">
    <w:abstractNumId w:val="10"/>
  </w:num>
  <w:num w:numId="25">
    <w:abstractNumId w:val="5"/>
  </w:num>
  <w:num w:numId="26">
    <w:abstractNumId w:val="27"/>
  </w:num>
  <w:num w:numId="27">
    <w:abstractNumId w:val="30"/>
  </w:num>
  <w:num w:numId="28">
    <w:abstractNumId w:val="1"/>
  </w:num>
  <w:num w:numId="29">
    <w:abstractNumId w:val="16"/>
  </w:num>
  <w:num w:numId="30">
    <w:abstractNumId w:val="34"/>
  </w:num>
  <w:num w:numId="31">
    <w:abstractNumId w:val="9"/>
  </w:num>
  <w:num w:numId="32">
    <w:abstractNumId w:val="32"/>
  </w:num>
  <w:num w:numId="33">
    <w:abstractNumId w:val="14"/>
  </w:num>
  <w:num w:numId="34">
    <w:abstractNumId w:val="11"/>
  </w:num>
  <w:num w:numId="35">
    <w:abstractNumId w:val="15"/>
  </w:num>
  <w:num w:numId="36">
    <w:abstractNumId w:val="3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CF"/>
    <w:rsid w:val="00017BDF"/>
    <w:rsid w:val="00037914"/>
    <w:rsid w:val="00046C18"/>
    <w:rsid w:val="00062A2F"/>
    <w:rsid w:val="00087C0D"/>
    <w:rsid w:val="000A577C"/>
    <w:rsid w:val="000A5A31"/>
    <w:rsid w:val="000A62EC"/>
    <w:rsid w:val="000B1E79"/>
    <w:rsid w:val="000C41CF"/>
    <w:rsid w:val="00125A12"/>
    <w:rsid w:val="001E6774"/>
    <w:rsid w:val="00202D35"/>
    <w:rsid w:val="00261BF6"/>
    <w:rsid w:val="00272DFA"/>
    <w:rsid w:val="0028625B"/>
    <w:rsid w:val="002C4651"/>
    <w:rsid w:val="002F01DF"/>
    <w:rsid w:val="003160A6"/>
    <w:rsid w:val="0036708E"/>
    <w:rsid w:val="003A7D5D"/>
    <w:rsid w:val="003D411C"/>
    <w:rsid w:val="003F0693"/>
    <w:rsid w:val="00442756"/>
    <w:rsid w:val="00446094"/>
    <w:rsid w:val="004542F9"/>
    <w:rsid w:val="00477B89"/>
    <w:rsid w:val="004F0437"/>
    <w:rsid w:val="0050663E"/>
    <w:rsid w:val="00506B36"/>
    <w:rsid w:val="00506D7B"/>
    <w:rsid w:val="005B0E25"/>
    <w:rsid w:val="005E485C"/>
    <w:rsid w:val="006328C3"/>
    <w:rsid w:val="00664A48"/>
    <w:rsid w:val="006806B8"/>
    <w:rsid w:val="00695F39"/>
    <w:rsid w:val="006D6B59"/>
    <w:rsid w:val="006E1679"/>
    <w:rsid w:val="0070748C"/>
    <w:rsid w:val="00707A0A"/>
    <w:rsid w:val="0071129A"/>
    <w:rsid w:val="00750439"/>
    <w:rsid w:val="00760448"/>
    <w:rsid w:val="0079340E"/>
    <w:rsid w:val="0079683B"/>
    <w:rsid w:val="007E782F"/>
    <w:rsid w:val="007E7B1A"/>
    <w:rsid w:val="00801ADC"/>
    <w:rsid w:val="008114AA"/>
    <w:rsid w:val="00867E7E"/>
    <w:rsid w:val="00897CD0"/>
    <w:rsid w:val="008A690D"/>
    <w:rsid w:val="008C03A2"/>
    <w:rsid w:val="008E69EB"/>
    <w:rsid w:val="00901F65"/>
    <w:rsid w:val="0093385E"/>
    <w:rsid w:val="009439B5"/>
    <w:rsid w:val="00966425"/>
    <w:rsid w:val="009908DF"/>
    <w:rsid w:val="0099269A"/>
    <w:rsid w:val="00A1551B"/>
    <w:rsid w:val="00A204E3"/>
    <w:rsid w:val="00A4797E"/>
    <w:rsid w:val="00A8634F"/>
    <w:rsid w:val="00AA3267"/>
    <w:rsid w:val="00AB5730"/>
    <w:rsid w:val="00AB6A39"/>
    <w:rsid w:val="00AB6CBB"/>
    <w:rsid w:val="00AF4E10"/>
    <w:rsid w:val="00BA3905"/>
    <w:rsid w:val="00BA62C8"/>
    <w:rsid w:val="00C0492D"/>
    <w:rsid w:val="00C07F16"/>
    <w:rsid w:val="00C711A2"/>
    <w:rsid w:val="00C72BC6"/>
    <w:rsid w:val="00CD01EB"/>
    <w:rsid w:val="00CF155E"/>
    <w:rsid w:val="00D502CB"/>
    <w:rsid w:val="00D56953"/>
    <w:rsid w:val="00D8688F"/>
    <w:rsid w:val="00E1195E"/>
    <w:rsid w:val="00E31272"/>
    <w:rsid w:val="00E95365"/>
    <w:rsid w:val="00EA679E"/>
    <w:rsid w:val="00EC22DF"/>
    <w:rsid w:val="00ED4325"/>
    <w:rsid w:val="00F32ED8"/>
    <w:rsid w:val="00F44D64"/>
    <w:rsid w:val="00F476B9"/>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5DD1"/>
  <w15:docId w15:val="{655A2085-6FAA-43FB-9579-CA7B2DB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123B-83BC-4FEF-8007-66731A88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 Kidwell</cp:lastModifiedBy>
  <cp:revision>2</cp:revision>
  <cp:lastPrinted>2016-01-25T19:05:00Z</cp:lastPrinted>
  <dcterms:created xsi:type="dcterms:W3CDTF">2020-04-27T20:21:00Z</dcterms:created>
  <dcterms:modified xsi:type="dcterms:W3CDTF">2020-04-27T20:21:00Z</dcterms:modified>
</cp:coreProperties>
</file>